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81"/>
      </w:pPr>
      <w:r>
        <w:rPr/>
        <w:t>Zabezpečenie</w:t>
      </w:r>
      <w:r>
        <w:rPr>
          <w:spacing w:val="-8"/>
        </w:rPr>
        <w:t> </w:t>
      </w:r>
      <w:r>
        <w:rPr/>
        <w:t>účasti</w:t>
      </w:r>
      <w:r>
        <w:rPr>
          <w:spacing w:val="-9"/>
        </w:rPr>
        <w:t> </w:t>
      </w:r>
      <w:r>
        <w:rPr/>
        <w:t>člena</w:t>
      </w:r>
      <w:r>
        <w:rPr>
          <w:spacing w:val="-7"/>
        </w:rPr>
        <w:t> </w:t>
      </w:r>
      <w:r>
        <w:rPr/>
        <w:t>včelárskeho</w:t>
      </w:r>
      <w:r>
        <w:rPr>
          <w:spacing w:val="-6"/>
        </w:rPr>
        <w:t> </w:t>
      </w:r>
      <w:r>
        <w:rPr/>
        <w:t>združenia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vzdelávacom</w:t>
      </w:r>
      <w:r>
        <w:rPr>
          <w:spacing w:val="-8"/>
        </w:rPr>
        <w:t> </w:t>
      </w:r>
      <w:r>
        <w:rPr>
          <w:spacing w:val="-2"/>
        </w:rPr>
        <w:t>podujatí</w:t>
      </w:r>
    </w:p>
    <w:p>
      <w:pPr>
        <w:pStyle w:val="Title"/>
        <w:ind w:left="693"/>
      </w:pPr>
      <w:r>
        <w:rPr/>
        <w:t>v</w:t>
      </w:r>
      <w:r>
        <w:rPr>
          <w:spacing w:val="-4"/>
        </w:rPr>
        <w:t> </w:t>
      </w:r>
      <w:r>
        <w:rPr/>
        <w:t>oblasti</w:t>
      </w:r>
      <w:r>
        <w:rPr>
          <w:spacing w:val="-3"/>
        </w:rPr>
        <w:t> </w:t>
      </w:r>
      <w:r>
        <w:rPr>
          <w:spacing w:val="-2"/>
        </w:rPr>
        <w:t>včelárstva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320" w:after="0"/>
        <w:ind w:left="600" w:right="0" w:hanging="240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vysielajúcej</w:t>
      </w:r>
      <w:r>
        <w:rPr>
          <w:spacing w:val="-1"/>
        </w:rPr>
        <w:t> </w:t>
      </w:r>
      <w:r>
        <w:rPr>
          <w:spacing w:val="-2"/>
        </w:rPr>
        <w:t>organizácii: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457"/>
        <w:gridCol w:w="2457"/>
        <w:gridCol w:w="2457"/>
      </w:tblGrid>
      <w:tr>
        <w:trPr>
          <w:trHeight w:val="741" w:hRule="atLeast"/>
        </w:trPr>
        <w:tc>
          <w:tcPr>
            <w:tcW w:w="9829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vysielajúcej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  <w:tr>
        <w:trPr>
          <w:trHeight w:val="460" w:hRule="atLeast"/>
        </w:trPr>
        <w:tc>
          <w:tcPr>
            <w:tcW w:w="4915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vysielajúca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organizácia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4914" w:type="dxa"/>
            <w:gridSpan w:val="2"/>
          </w:tcPr>
          <w:p>
            <w:pPr>
              <w:pStyle w:val="TableParagraph"/>
              <w:spacing w:line="230" w:lineRule="atLeast"/>
              <w:ind w:left="816" w:right="97" w:hanging="567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vysielajúca organizácia je platcom DPH)</w:t>
            </w:r>
          </w:p>
        </w:tc>
      </w:tr>
      <w:tr>
        <w:trPr>
          <w:trHeight w:val="364" w:hRule="atLeast"/>
        </w:trPr>
        <w:tc>
          <w:tcPr>
            <w:tcW w:w="2458" w:type="dxa"/>
          </w:tcPr>
          <w:p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600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40679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3.203127pt;width:12.25pt;height:12.25pt;mso-position-horizontal-relative:column;mso-position-vertical-relative:paragraph;z-index:-15930880" id="docshapegroup2" coordorigin="264,64" coordsize="245,245">
                      <v:rect style="position:absolute;left:271;top:71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457" w:type="dxa"/>
          </w:tcPr>
          <w:p>
            <w:pPr>
              <w:pStyle w:val="TableParagraph"/>
              <w:spacing w:before="44"/>
              <w:ind w:left="1" w:right="520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112">
                      <wp:simplePos x="0" y="0"/>
                      <wp:positionH relativeFrom="column">
                        <wp:posOffset>167639</wp:posOffset>
                      </wp:positionH>
                      <wp:positionV relativeFrom="paragraph">
                        <wp:posOffset>40679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pt;margin-top:3.203127pt;width:12.25pt;height:12.25pt;mso-position-horizontal-relative:column;mso-position-vertical-relative:paragraph;z-index:-15930368" id="docshapegroup4" coordorigin="264,64" coordsize="245,245">
                      <v:rect style="position:absolute;left:271;top:71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457" w:type="dxa"/>
          </w:tcPr>
          <w:p>
            <w:pPr>
              <w:pStyle w:val="TableParagraph"/>
              <w:spacing w:before="44"/>
              <w:ind w:left="55" w:right="520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624">
                      <wp:simplePos x="0" y="0"/>
                      <wp:positionH relativeFrom="column">
                        <wp:posOffset>167894</wp:posOffset>
                      </wp:positionH>
                      <wp:positionV relativeFrom="paragraph">
                        <wp:posOffset>40679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22001pt;margin-top:3.203127pt;width:12.25pt;height:12.25pt;mso-position-horizontal-relative:column;mso-position-vertical-relative:paragraph;z-index:-15929856" id="docshapegroup6" coordorigin="264,64" coordsize="245,245">
                      <v:rect style="position:absolute;left:271;top:71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457" w:type="dxa"/>
          </w:tcPr>
          <w:p>
            <w:pPr>
              <w:pStyle w:val="TableParagraph"/>
              <w:spacing w:before="44"/>
              <w:ind w:right="520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136">
                      <wp:simplePos x="0" y="0"/>
                      <wp:positionH relativeFrom="column">
                        <wp:posOffset>166496</wp:posOffset>
                      </wp:positionH>
                      <wp:positionV relativeFrom="paragraph">
                        <wp:posOffset>40679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.109995pt;margin-top:3.203127pt;width:12.25pt;height:12.25pt;mso-position-horizontal-relative:column;mso-position-vertical-relative:paragraph;z-index:-15929344" id="docshapegroup8" coordorigin="262,64" coordsize="245,245">
                      <v:rect style="position:absolute;left:269;top:71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vyslaných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účastníkoch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podujatia*: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486"/>
        <w:gridCol w:w="2083"/>
        <w:gridCol w:w="2441"/>
      </w:tblGrid>
      <w:tr>
        <w:trPr>
          <w:trHeight w:val="681" w:hRule="atLeast"/>
        </w:trPr>
        <w:tc>
          <w:tcPr>
            <w:tcW w:w="184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86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83" w:type="dxa"/>
          </w:tcPr>
          <w:p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CEHZ:</w:t>
            </w:r>
          </w:p>
        </w:tc>
        <w:tc>
          <w:tcPr>
            <w:tcW w:w="2441" w:type="dxa"/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  <w:tr>
        <w:trPr>
          <w:trHeight w:val="679" w:hRule="atLeast"/>
        </w:trPr>
        <w:tc>
          <w:tcPr>
            <w:tcW w:w="1843" w:type="dxa"/>
          </w:tcPr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86" w:type="dxa"/>
          </w:tcPr>
          <w:p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83" w:type="dxa"/>
          </w:tcPr>
          <w:p>
            <w:pPr>
              <w:pStyle w:val="TableParagraph"/>
              <w:spacing w:before="1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CEHZ:</w:t>
            </w:r>
          </w:p>
        </w:tc>
        <w:tc>
          <w:tcPr>
            <w:tcW w:w="2441" w:type="dxa"/>
          </w:tcPr>
          <w:p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  <w:tr>
        <w:trPr>
          <w:trHeight w:val="681" w:hRule="atLeast"/>
        </w:trPr>
        <w:tc>
          <w:tcPr>
            <w:tcW w:w="184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86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83" w:type="dxa"/>
          </w:tcPr>
          <w:p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CEHZ:</w:t>
            </w:r>
          </w:p>
        </w:tc>
        <w:tc>
          <w:tcPr>
            <w:tcW w:w="2441" w:type="dxa"/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  <w:tr>
        <w:trPr>
          <w:trHeight w:val="681" w:hRule="atLeast"/>
        </w:trPr>
        <w:tc>
          <w:tcPr>
            <w:tcW w:w="184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86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83" w:type="dxa"/>
          </w:tcPr>
          <w:p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CEHZ:</w:t>
            </w:r>
          </w:p>
        </w:tc>
        <w:tc>
          <w:tcPr>
            <w:tcW w:w="2441" w:type="dxa"/>
          </w:tcPr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>
      <w:pPr>
        <w:pStyle w:val="BodyText"/>
        <w:spacing w:line="228" w:lineRule="exact"/>
        <w:ind w:left="360"/>
      </w:pPr>
      <w:r>
        <w:rPr/>
        <w:t>*v</w:t>
      </w:r>
      <w:r>
        <w:rPr>
          <w:spacing w:val="-5"/>
        </w:rPr>
        <w:t> </w:t>
      </w:r>
      <w:r>
        <w:rPr/>
        <w:t>prípade</w:t>
      </w:r>
      <w:r>
        <w:rPr>
          <w:spacing w:val="-6"/>
        </w:rPr>
        <w:t> </w:t>
      </w:r>
      <w:r>
        <w:rPr/>
        <w:t>potreby</w:t>
      </w:r>
      <w:r>
        <w:rPr>
          <w:spacing w:val="-4"/>
        </w:rPr>
        <w:t> </w:t>
      </w:r>
      <w:r>
        <w:rPr/>
        <w:t>doplňte</w:t>
      </w:r>
      <w:r>
        <w:rPr>
          <w:spacing w:val="-6"/>
        </w:rPr>
        <w:t> </w:t>
      </w:r>
      <w:r>
        <w:rPr>
          <w:spacing w:val="-2"/>
        </w:rPr>
        <w:t>riadok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76" w:lineRule="exact" w:before="0" w:after="0"/>
        <w:ind w:left="600" w:right="0" w:hanging="240"/>
        <w:jc w:val="left"/>
      </w:pPr>
      <w:r>
        <w:rPr/>
        <w:t>Údaje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podujatí: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3486"/>
        <w:gridCol w:w="4525"/>
      </w:tblGrid>
      <w:tr>
        <w:trPr>
          <w:trHeight w:val="681" w:hRule="atLeast"/>
        </w:trPr>
        <w:tc>
          <w:tcPr>
            <w:tcW w:w="1843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3486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4525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podujatia: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107"/>
        <w:gridCol w:w="3078"/>
        <w:gridCol w:w="1710"/>
        <w:gridCol w:w="1561"/>
        <w:gridCol w:w="1664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107" w:type="dxa"/>
          </w:tcPr>
          <w:p>
            <w:pPr>
              <w:pStyle w:val="TableParagraph"/>
              <w:spacing w:line="230" w:lineRule="atLeast"/>
              <w:ind w:left="258" w:right="135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3078" w:type="dxa"/>
          </w:tcPr>
          <w:p>
            <w:pPr>
              <w:pStyle w:val="TableParagraph"/>
              <w:spacing w:before="115"/>
              <w:ind w:left="14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710" w:type="dxa"/>
          </w:tcPr>
          <w:p>
            <w:pPr>
              <w:pStyle w:val="TableParagraph"/>
              <w:spacing w:line="230" w:lineRule="atLeast"/>
              <w:ind w:left="629" w:right="172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561" w:type="dxa"/>
          </w:tcPr>
          <w:p>
            <w:pPr>
              <w:pStyle w:val="TableParagraph"/>
              <w:spacing w:line="230" w:lineRule="atLeast"/>
              <w:ind w:left="311" w:right="177" w:firstLine="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Požadovaná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664" w:type="dxa"/>
          </w:tcPr>
          <w:p>
            <w:pPr>
              <w:pStyle w:val="TableParagraph"/>
              <w:spacing w:before="115"/>
              <w:ind w:left="4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92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9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717" w:footer="0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80" w:after="0"/>
        <w:ind w:left="600" w:right="0" w:hanging="240"/>
        <w:jc w:val="left"/>
      </w:pPr>
      <w:r>
        <w:rPr>
          <w:spacing w:val="-2"/>
        </w:rPr>
        <w:t>Prílohy:</w:t>
      </w:r>
    </w:p>
    <w:p>
      <w:pPr>
        <w:spacing w:before="0"/>
        <w:ind w:left="785" w:right="229" w:hanging="411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8" cy="14051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sz w:val="20"/>
        </w:rPr>
        <w:t> </w:t>
      </w:r>
      <w:r>
        <w:rPr>
          <w:sz w:val="22"/>
        </w:rPr>
        <w:t>písomné potvrdenie včelárskeho združenia, že osoba, ktorá sa vzdelávacieho podujatia zúčastnila, bola v tom čase jeho členom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75" w:lineRule="exact" w:before="121" w:after="0"/>
        <w:ind w:left="600" w:right="0" w:hanging="240"/>
        <w:jc w:val="left"/>
      </w:pPr>
      <w:r>
        <w:rPr/>
        <w:t>Správa</w:t>
      </w:r>
      <w:r>
        <w:rPr>
          <w:spacing w:val="-6"/>
        </w:rPr>
        <w:t> </w:t>
      </w:r>
      <w:r>
        <w:rPr/>
        <w:t>so</w:t>
      </w:r>
      <w:r>
        <w:rPr>
          <w:spacing w:val="-3"/>
        </w:rPr>
        <w:t> </w:t>
      </w:r>
      <w:r>
        <w:rPr/>
        <w:t>zdôvodnením</w:t>
      </w:r>
      <w:r>
        <w:rPr>
          <w:spacing w:val="-2"/>
        </w:rPr>
        <w:t> </w:t>
      </w:r>
      <w:r>
        <w:rPr/>
        <w:t>oprávnenosti</w:t>
      </w:r>
      <w:r>
        <w:rPr>
          <w:spacing w:val="-6"/>
        </w:rPr>
        <w:t> </w:t>
      </w:r>
      <w:r>
        <w:rPr>
          <w:spacing w:val="-2"/>
        </w:rPr>
        <w:t>nákladov:</w:t>
      </w:r>
    </w:p>
    <w:p>
      <w:pPr>
        <w:pStyle w:val="BodyText"/>
        <w:spacing w:line="229" w:lineRule="exact"/>
        <w:ind w:left="360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5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3"/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1" w:after="0"/>
        <w:ind w:left="600" w:right="0" w:hanging="240"/>
        <w:jc w:val="left"/>
      </w:pPr>
      <w:r>
        <w:rPr/>
        <w:t>Vyhlásenie</w:t>
      </w:r>
      <w:r>
        <w:rPr>
          <w:spacing w:val="-4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360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0" w:after="0"/>
        <w:ind w:left="926" w:right="0" w:hanging="566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22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 podporu, o ktorú žiada,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28" w:lineRule="exact" w:before="0" w:after="0"/>
        <w:ind w:left="926" w:right="0" w:hanging="566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ten</w:t>
      </w:r>
      <w:r>
        <w:rPr>
          <w:spacing w:val="-3"/>
          <w:sz w:val="20"/>
        </w:rPr>
        <w:t> </w:t>
      </w:r>
      <w:r>
        <w:rPr>
          <w:sz w:val="20"/>
        </w:rPr>
        <w:t>istý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5"/>
          <w:sz w:val="20"/>
        </w:rPr>
        <w:t> </w:t>
      </w:r>
      <w:r>
        <w:rPr>
          <w:sz w:val="20"/>
        </w:rPr>
        <w:t>iná</w:t>
      </w:r>
      <w:r>
        <w:rPr>
          <w:spacing w:val="-4"/>
          <w:sz w:val="20"/>
        </w:rPr>
        <w:t> </w:t>
      </w:r>
      <w:r>
        <w:rPr>
          <w:sz w:val="20"/>
        </w:rPr>
        <w:t>dotácia</w:t>
      </w:r>
      <w:r>
        <w:rPr>
          <w:spacing w:val="-4"/>
          <w:sz w:val="20"/>
        </w:rPr>
        <w:t> </w:t>
      </w:r>
      <w:r>
        <w:rPr>
          <w:sz w:val="20"/>
        </w:rPr>
        <w:t>zo</w:t>
      </w:r>
      <w:r>
        <w:rPr>
          <w:spacing w:val="-4"/>
          <w:sz w:val="20"/>
        </w:rPr>
        <w:t> </w:t>
      </w:r>
      <w:r>
        <w:rPr>
          <w:sz w:val="20"/>
        </w:rPr>
        <w:t>štátneho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27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1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1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8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1"/>
          <w:sz w:val="20"/>
        </w:rPr>
        <w:t> </w:t>
      </w:r>
      <w:r>
        <w:rPr>
          <w:sz w:val="20"/>
        </w:rPr>
        <w:t>Európskeho</w:t>
      </w:r>
      <w:r>
        <w:rPr>
          <w:spacing w:val="19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 27. apríla 2016 o 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4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5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40" w:lineRule="auto" w:before="1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5"/>
          <w:sz w:val="20"/>
        </w:rPr>
        <w:t> </w:t>
      </w:r>
      <w:r>
        <w:rPr>
          <w:sz w:val="20"/>
        </w:rPr>
        <w:t>orgánom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5"/>
          <w:sz w:val="20"/>
        </w:rPr>
        <w:t> </w:t>
      </w:r>
      <w:r>
        <w:rPr>
          <w:sz w:val="20"/>
        </w:rPr>
        <w:t>všetkých</w:t>
      </w:r>
      <w:r>
        <w:rPr>
          <w:spacing w:val="-5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7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228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227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  <w:spacing w:before="45" w:after="1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840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9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podpis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konať v mene konečného prijímateľa 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900988</wp:posOffset>
                </wp:positionH>
                <wp:positionV relativeFrom="paragraph">
                  <wp:posOffset>272401</wp:posOffset>
                </wp:positionV>
                <wp:extent cx="1829435" cy="762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21.448929pt;width:144.020pt;height:.599980pt;mso-position-horizontal-relative:page;mso-position-vertical-relative:paragraph;z-index:-15726592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4"/>
        <w:ind w:left="218"/>
      </w:pPr>
      <w:r>
        <w:rPr>
          <w:rFonts w:ascii="Symbol" w:hAnsi="Symbol"/>
          <w:position w:val="7"/>
          <w:sz w:val="13"/>
        </w:rPr>
        <w:t></w:t>
      </w:r>
      <w:r>
        <w:rPr>
          <w:spacing w:val="14"/>
          <w:position w:val="7"/>
          <w:sz w:val="13"/>
        </w:rPr>
        <w:t> </w:t>
      </w:r>
      <w:r>
        <w:rPr/>
        <w:t>označte</w:t>
      </w:r>
      <w:r>
        <w:rPr>
          <w:spacing w:val="-2"/>
        </w:rPr>
        <w:t> 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489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489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12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85pt;height:29.1pt;mso-position-horizontal-relative:page;mso-position-vertical-relative:page;z-index:-1593088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12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38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956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75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012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30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049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275"/>
      <w:ind w:left="60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12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24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2024-06-06T13:51:40Z</dcterms:created>
  <dcterms:modified xsi:type="dcterms:W3CDTF">2024-06-06T13:51:40Z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