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45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472" w:val="left" w:leader="none"/>
        </w:tabs>
        <w:spacing w:line="240" w:lineRule="auto" w:before="0" w:after="0"/>
        <w:ind w:left="472" w:right="0" w:hanging="240"/>
        <w:jc w:val="left"/>
      </w:pPr>
      <w:r>
        <w:rPr/>
        <w:t>Údaje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včelárovi,</w:t>
      </w:r>
      <w:r>
        <w:rPr>
          <w:spacing w:val="-1"/>
        </w:rPr>
        <w:t> </w:t>
      </w:r>
      <w:r>
        <w:rPr/>
        <w:t>ktorý</w:t>
      </w:r>
      <w:r>
        <w:rPr>
          <w:spacing w:val="-1"/>
        </w:rPr>
        <w:t> </w:t>
      </w:r>
      <w:r>
        <w:rPr/>
        <w:t>nakúpil včelie</w:t>
      </w:r>
      <w:r>
        <w:rPr>
          <w:spacing w:val="-2"/>
        </w:rPr>
        <w:t> matky:</w:t>
      </w:r>
    </w:p>
    <w:p>
      <w:pPr>
        <w:pStyle w:val="Title"/>
      </w:pPr>
      <w:r>
        <w:rPr>
          <w:b w:val="0"/>
        </w:rPr>
        <w:br w:type="column"/>
      </w:r>
      <w:r>
        <w:rPr/>
        <w:t>Nákup</w:t>
      </w:r>
      <w:r>
        <w:rPr>
          <w:spacing w:val="-6"/>
        </w:rPr>
        <w:t> </w:t>
      </w:r>
      <w:r>
        <w:rPr/>
        <w:t>včelích</w:t>
      </w:r>
      <w:r>
        <w:rPr>
          <w:spacing w:val="-5"/>
        </w:rPr>
        <w:t> </w:t>
      </w:r>
      <w:r>
        <w:rPr>
          <w:spacing w:val="-2"/>
        </w:rPr>
        <w:t>matiek</w:t>
      </w:r>
    </w:p>
    <w:p>
      <w:pPr>
        <w:spacing w:after="0"/>
        <w:sectPr>
          <w:headerReference w:type="default" r:id="rId5"/>
          <w:type w:val="continuous"/>
          <w:pgSz w:w="16840" w:h="11910" w:orient="landscape"/>
          <w:pgMar w:header="717" w:footer="0" w:top="1320" w:bottom="280" w:left="900" w:right="1120"/>
          <w:pgNumType w:start="1"/>
          <w:cols w:num="2" w:equalWidth="0">
            <w:col w:w="5252" w:space="663"/>
            <w:col w:w="8905"/>
          </w:cols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2"/>
        <w:gridCol w:w="1512"/>
        <w:gridCol w:w="2509"/>
        <w:gridCol w:w="2972"/>
        <w:gridCol w:w="4112"/>
      </w:tblGrid>
      <w:tr>
        <w:trPr>
          <w:trHeight w:val="337" w:hRule="atLeast"/>
        </w:trPr>
        <w:tc>
          <w:tcPr>
            <w:tcW w:w="3984" w:type="dxa"/>
            <w:gridSpan w:val="2"/>
            <w:vMerge w:val="restart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titul:</w:t>
            </w:r>
          </w:p>
        </w:tc>
        <w:tc>
          <w:tcPr>
            <w:tcW w:w="2509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CRV:</w:t>
            </w:r>
          </w:p>
        </w:tc>
        <w:tc>
          <w:tcPr>
            <w:tcW w:w="7084" w:type="dxa"/>
            <w:gridSpan w:val="2"/>
            <w:vMerge w:val="restart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sídlo</w:t>
            </w:r>
            <w:r>
              <w:rPr>
                <w:spacing w:val="-2"/>
                <w:sz w:val="20"/>
              </w:rPr>
              <w:t> organizácie:</w:t>
            </w:r>
          </w:p>
        </w:tc>
      </w:tr>
      <w:tr>
        <w:trPr>
          <w:trHeight w:val="460" w:hRule="atLeast"/>
        </w:trPr>
        <w:tc>
          <w:tcPr>
            <w:tcW w:w="398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spacing w:line="230" w:lineRule="atLeast"/>
              <w:ind w:left="108" w:right="1512"/>
              <w:rPr>
                <w:sz w:val="20"/>
              </w:rPr>
            </w:pPr>
            <w:r>
              <w:rPr>
                <w:sz w:val="20"/>
              </w:rPr>
              <w:t>Kód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farmy z CEHZ:</w:t>
            </w:r>
          </w:p>
        </w:tc>
        <w:tc>
          <w:tcPr>
            <w:tcW w:w="708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6493" w:type="dxa"/>
            <w:gridSpan w:val="3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konečný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prijímateľ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platiteľom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7084" w:type="dxa"/>
            <w:gridSpan w:val="2"/>
          </w:tcPr>
          <w:p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Uplatní si platiteľ DPH odpočet DPH (vypĺňa sa, ak konečný prijímateľ podpory je platcom DPH)</w:t>
            </w:r>
          </w:p>
        </w:tc>
      </w:tr>
      <w:tr>
        <w:trPr>
          <w:trHeight w:val="379" w:hRule="atLeast"/>
        </w:trPr>
        <w:tc>
          <w:tcPr>
            <w:tcW w:w="2472" w:type="dxa"/>
          </w:tcPr>
          <w:p>
            <w:pPr>
              <w:pStyle w:val="TableParagraph"/>
              <w:spacing w:before="49"/>
              <w:ind w:left="816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219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43930</wp:posOffset>
                      </wp:positionV>
                      <wp:extent cx="155575" cy="15621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55575" cy="156210"/>
                                <a:chExt cx="155575" cy="15621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3.459119pt;width:12.25pt;height:12.3pt;mso-position-horizontal-relative:column;mso-position-vertical-relative:paragraph;z-index:-15884288" id="docshapegroup2" coordorigin="122,69" coordsize="245,246">
                      <v:rect style="position:absolute;left:129;top:76;width:231;height:231" id="docshape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áno</w:t>
            </w:r>
          </w:p>
        </w:tc>
        <w:tc>
          <w:tcPr>
            <w:tcW w:w="4021" w:type="dxa"/>
            <w:gridSpan w:val="2"/>
          </w:tcPr>
          <w:p>
            <w:pPr>
              <w:pStyle w:val="TableParagraph"/>
              <w:spacing w:before="49"/>
              <w:ind w:left="816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270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43930</wp:posOffset>
                      </wp:positionV>
                      <wp:extent cx="155575" cy="15621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55575" cy="156210"/>
                                <a:chExt cx="155575" cy="15621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4" y="146608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3.459119pt;width:12.25pt;height:12.3pt;mso-position-horizontal-relative:column;mso-position-vertical-relative:paragraph;z-index:-15883776" id="docshapegroup4" coordorigin="122,69" coordsize="245,246">
                      <v:rect style="position:absolute;left:129;top:76;width:231;height:231" id="docshape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nie</w:t>
            </w:r>
          </w:p>
        </w:tc>
        <w:tc>
          <w:tcPr>
            <w:tcW w:w="2972" w:type="dxa"/>
          </w:tcPr>
          <w:p>
            <w:pPr>
              <w:pStyle w:val="TableParagraph"/>
              <w:spacing w:before="49"/>
              <w:ind w:left="815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3216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43930</wp:posOffset>
                      </wp:positionV>
                      <wp:extent cx="155575" cy="15621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55575" cy="156210"/>
                                <a:chExt cx="155575" cy="15621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001pt;margin-top:3.459119pt;width:12.25pt;height:12.3pt;mso-position-horizontal-relative:column;mso-position-vertical-relative:paragraph;z-index:-15883264" id="docshapegroup6" coordorigin="122,69" coordsize="245,246">
                      <v:rect style="position:absolute;left:129;top:76;width:231;height:231" id="docshape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áno</w:t>
            </w:r>
          </w:p>
        </w:tc>
        <w:tc>
          <w:tcPr>
            <w:tcW w:w="4112" w:type="dxa"/>
          </w:tcPr>
          <w:p>
            <w:pPr>
              <w:pStyle w:val="TableParagraph"/>
              <w:spacing w:before="49"/>
              <w:ind w:left="817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3728">
                      <wp:simplePos x="0" y="0"/>
                      <wp:positionH relativeFrom="column">
                        <wp:posOffset>79248</wp:posOffset>
                      </wp:positionH>
                      <wp:positionV relativeFrom="paragraph">
                        <wp:posOffset>43930</wp:posOffset>
                      </wp:positionV>
                      <wp:extent cx="155575" cy="15621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55575" cy="156210"/>
                                <a:chExt cx="155575" cy="15621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24001pt;margin-top:3.459119pt;width:12.25pt;height:12.3pt;mso-position-horizontal-relative:column;mso-position-vertical-relative:paragraph;z-index:-15882752" id="docshapegroup8" coordorigin="125,69" coordsize="245,246">
                      <v:rect style="position:absolute;left:132;top:76;width:231;height:231" id="docshape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nie</w:t>
            </w:r>
          </w:p>
        </w:tc>
      </w:tr>
      <w:tr>
        <w:trPr>
          <w:trHeight w:val="554" w:hRule="atLeast"/>
        </w:trPr>
        <w:tc>
          <w:tcPr>
            <w:tcW w:w="9465" w:type="dxa"/>
            <w:gridSpan w:val="4"/>
          </w:tcPr>
          <w:p>
            <w:pPr>
              <w:pStyle w:val="TableParagraph"/>
              <w:spacing w:before="16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Počet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včelstiev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CEHZ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ku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dňu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nákupu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včelích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matiek:</w:t>
            </w:r>
          </w:p>
        </w:tc>
        <w:tc>
          <w:tcPr>
            <w:tcW w:w="411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Heading1"/>
        <w:numPr>
          <w:ilvl w:val="0"/>
          <w:numId w:val="1"/>
        </w:numPr>
        <w:tabs>
          <w:tab w:pos="472" w:val="left" w:leader="none"/>
        </w:tabs>
        <w:spacing w:line="276" w:lineRule="exact" w:before="241" w:after="0"/>
        <w:ind w:left="472" w:right="0" w:hanging="240"/>
        <w:jc w:val="left"/>
      </w:pPr>
      <w:r>
        <w:rPr/>
        <w:t>Údaje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nakúpených</w:t>
      </w:r>
      <w:r>
        <w:rPr>
          <w:spacing w:val="-4"/>
        </w:rPr>
        <w:t> </w:t>
      </w:r>
      <w:r>
        <w:rPr/>
        <w:t>včelích</w:t>
      </w:r>
      <w:r>
        <w:rPr>
          <w:spacing w:val="-1"/>
        </w:rPr>
        <w:t> </w:t>
      </w:r>
      <w:r>
        <w:rPr>
          <w:spacing w:val="-2"/>
        </w:rPr>
        <w:t>matkách*:</w:t>
      </w:r>
    </w:p>
    <w:p>
      <w:pPr>
        <w:spacing w:before="0"/>
        <w:ind w:left="247" w:right="310" w:firstLine="0"/>
        <w:jc w:val="left"/>
        <w:rPr>
          <w:sz w:val="22"/>
        </w:rPr>
      </w:pPr>
      <w:r>
        <w:rPr>
          <w:position w:val="-3"/>
        </w:rPr>
        <w:drawing>
          <wp:inline distT="0" distB="0" distL="0" distR="0">
            <wp:extent cx="140207" cy="140208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pacing w:val="80"/>
          <w:w w:val="150"/>
          <w:sz w:val="20"/>
        </w:rPr>
        <w:t> </w:t>
      </w:r>
      <w:r>
        <w:rPr>
          <w:sz w:val="22"/>
        </w:rPr>
        <w:t>nákup</w:t>
      </w:r>
      <w:r>
        <w:rPr>
          <w:spacing w:val="-2"/>
          <w:sz w:val="22"/>
        </w:rPr>
        <w:t> </w:t>
      </w:r>
      <w:r>
        <w:rPr>
          <w:sz w:val="22"/>
        </w:rPr>
        <w:t>plemennej</w:t>
      </w:r>
      <w:r>
        <w:rPr>
          <w:spacing w:val="-1"/>
          <w:sz w:val="22"/>
        </w:rPr>
        <w:t> </w:t>
      </w:r>
      <w:r>
        <w:rPr>
          <w:sz w:val="22"/>
        </w:rPr>
        <w:t>neoplodnenej</w:t>
      </w:r>
      <w:r>
        <w:rPr>
          <w:spacing w:val="-4"/>
          <w:sz w:val="22"/>
        </w:rPr>
        <w:t> </w:t>
      </w:r>
      <w:r>
        <w:rPr>
          <w:sz w:val="22"/>
        </w:rPr>
        <w:t>matky</w:t>
      </w:r>
      <w:r>
        <w:rPr>
          <w:spacing w:val="-5"/>
          <w:sz w:val="22"/>
        </w:rPr>
        <w:t> </w:t>
      </w:r>
      <w:r>
        <w:rPr>
          <w:sz w:val="22"/>
        </w:rPr>
        <w:t>kranskej</w:t>
      </w:r>
      <w:r>
        <w:rPr>
          <w:spacing w:val="-1"/>
          <w:sz w:val="22"/>
        </w:rPr>
        <w:t> </w:t>
      </w:r>
      <w:r>
        <w:rPr>
          <w:sz w:val="22"/>
        </w:rPr>
        <w:t>včely</w:t>
      </w:r>
      <w:r>
        <w:rPr>
          <w:spacing w:val="-5"/>
          <w:sz w:val="22"/>
        </w:rPr>
        <w:t> </w:t>
      </w:r>
      <w:r>
        <w:rPr>
          <w:sz w:val="22"/>
        </w:rPr>
        <w:t>šľachtenej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hygienický</w:t>
      </w:r>
      <w:r>
        <w:rPr>
          <w:spacing w:val="-2"/>
          <w:sz w:val="22"/>
        </w:rPr>
        <w:t> </w:t>
      </w:r>
      <w:r>
        <w:rPr>
          <w:sz w:val="22"/>
        </w:rPr>
        <w:t>prejav</w:t>
      </w:r>
      <w:r>
        <w:rPr>
          <w:spacing w:val="-2"/>
          <w:sz w:val="22"/>
        </w:rPr>
        <w:t> </w:t>
      </w:r>
      <w:r>
        <w:rPr>
          <w:sz w:val="22"/>
        </w:rPr>
        <w:t>a odolnosť</w:t>
      </w:r>
      <w:r>
        <w:rPr>
          <w:spacing w:val="-3"/>
          <w:sz w:val="22"/>
        </w:rPr>
        <w:t> </w:t>
      </w:r>
      <w:r>
        <w:rPr>
          <w:sz w:val="22"/>
        </w:rPr>
        <w:t>voči</w:t>
      </w:r>
      <w:r>
        <w:rPr>
          <w:spacing w:val="-1"/>
          <w:sz w:val="22"/>
        </w:rPr>
        <w:t> </w:t>
      </w:r>
      <w:r>
        <w:rPr>
          <w:sz w:val="22"/>
        </w:rPr>
        <w:t>varroáze</w:t>
      </w:r>
      <w:r>
        <w:rPr>
          <w:spacing w:val="-2"/>
          <w:sz w:val="22"/>
        </w:rPr>
        <w:t> </w:t>
      </w:r>
      <w:r>
        <w:rPr>
          <w:sz w:val="22"/>
        </w:rPr>
        <w:t>alebo</w:t>
      </w:r>
      <w:r>
        <w:rPr>
          <w:spacing w:val="-2"/>
          <w:sz w:val="22"/>
        </w:rPr>
        <w:t> </w:t>
      </w:r>
      <w:r>
        <w:rPr>
          <w:sz w:val="22"/>
        </w:rPr>
        <w:t>obstaranie</w:t>
      </w:r>
      <w:r>
        <w:rPr>
          <w:spacing w:val="-4"/>
          <w:sz w:val="22"/>
        </w:rPr>
        <w:t> </w:t>
      </w:r>
      <w:r>
        <w:rPr>
          <w:sz w:val="22"/>
        </w:rPr>
        <w:t>jej</w:t>
      </w:r>
      <w:r>
        <w:rPr>
          <w:spacing w:val="-1"/>
          <w:sz w:val="22"/>
        </w:rPr>
        <w:t> </w:t>
      </w:r>
      <w:r>
        <w:rPr>
          <w:sz w:val="22"/>
        </w:rPr>
        <w:t>larvy</w:t>
      </w:r>
      <w:r>
        <w:rPr>
          <w:spacing w:val="-5"/>
          <w:sz w:val="22"/>
        </w:rPr>
        <w:t> </w:t>
      </w:r>
      <w:r>
        <w:rPr>
          <w:sz w:val="22"/>
        </w:rPr>
        <w:t>v materskej</w:t>
      </w:r>
      <w:r>
        <w:rPr>
          <w:spacing w:val="-1"/>
          <w:sz w:val="22"/>
        </w:rPr>
        <w:t> </w:t>
      </w:r>
      <w:r>
        <w:rPr>
          <w:sz w:val="22"/>
        </w:rPr>
        <w:t>bunke </w:t>
      </w:r>
      <w:r>
        <w:rPr>
          <w:position w:val="-3"/>
          <w:sz w:val="22"/>
        </w:rPr>
        <w:drawing>
          <wp:inline distT="0" distB="0" distL="0" distR="0">
            <wp:extent cx="140207" cy="140208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2"/>
        </w:rPr>
      </w:r>
      <w:r>
        <w:rPr>
          <w:spacing w:val="80"/>
          <w:w w:val="150"/>
          <w:sz w:val="22"/>
        </w:rPr>
        <w:t> </w:t>
      </w:r>
      <w:r>
        <w:rPr>
          <w:sz w:val="22"/>
        </w:rPr>
        <w:t>nákup prirodzene oplodnenej matky kranskej včely</w:t>
      </w:r>
    </w:p>
    <w:p>
      <w:pPr>
        <w:spacing w:line="252" w:lineRule="exact" w:before="0"/>
        <w:ind w:left="247" w:right="0" w:firstLine="0"/>
        <w:jc w:val="left"/>
        <w:rPr>
          <w:sz w:val="22"/>
        </w:rPr>
      </w:pPr>
      <w:r>
        <w:rPr>
          <w:position w:val="-3"/>
        </w:rPr>
        <w:drawing>
          <wp:inline distT="0" distB="0" distL="0" distR="0">
            <wp:extent cx="140207" cy="140208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pacing w:val="40"/>
          <w:sz w:val="20"/>
        </w:rPr>
        <w:t>  </w:t>
      </w:r>
      <w:r>
        <w:rPr>
          <w:sz w:val="22"/>
        </w:rPr>
        <w:t>nákup umelo oplodnenej matky kranskej včely</w:t>
      </w:r>
    </w:p>
    <w:p>
      <w:pPr>
        <w:spacing w:before="0"/>
        <w:ind w:left="660" w:right="310" w:hanging="413"/>
        <w:jc w:val="left"/>
        <w:rPr>
          <w:sz w:val="22"/>
        </w:rPr>
      </w:pPr>
      <w:r>
        <w:rPr>
          <w:position w:val="-3"/>
        </w:rPr>
        <w:drawing>
          <wp:inline distT="0" distB="0" distL="0" distR="0">
            <wp:extent cx="140207" cy="140208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pacing w:val="80"/>
          <w:w w:val="150"/>
          <w:sz w:val="20"/>
        </w:rPr>
        <w:t> </w:t>
      </w:r>
      <w:r>
        <w:rPr>
          <w:sz w:val="22"/>
        </w:rPr>
        <w:t>nákup</w:t>
      </w:r>
      <w:r>
        <w:rPr>
          <w:spacing w:val="28"/>
          <w:sz w:val="22"/>
        </w:rPr>
        <w:t> </w:t>
      </w:r>
      <w:r>
        <w:rPr>
          <w:sz w:val="22"/>
        </w:rPr>
        <w:t>matky</w:t>
      </w:r>
      <w:r>
        <w:rPr>
          <w:spacing w:val="30"/>
          <w:sz w:val="22"/>
        </w:rPr>
        <w:t> </w:t>
      </w:r>
      <w:r>
        <w:rPr>
          <w:sz w:val="22"/>
        </w:rPr>
        <w:t>kranskej</w:t>
      </w:r>
      <w:r>
        <w:rPr>
          <w:spacing w:val="28"/>
          <w:sz w:val="22"/>
        </w:rPr>
        <w:t> </w:t>
      </w:r>
      <w:r>
        <w:rPr>
          <w:sz w:val="22"/>
        </w:rPr>
        <w:t>včely,</w:t>
      </w:r>
      <w:r>
        <w:rPr>
          <w:spacing w:val="30"/>
          <w:sz w:val="22"/>
        </w:rPr>
        <w:t> </w:t>
      </w:r>
      <w:r>
        <w:rPr>
          <w:sz w:val="22"/>
        </w:rPr>
        <w:t>ktorej</w:t>
      </w:r>
      <w:r>
        <w:rPr>
          <w:spacing w:val="30"/>
          <w:sz w:val="22"/>
        </w:rPr>
        <w:t> </w:t>
      </w:r>
      <w:r>
        <w:rPr>
          <w:sz w:val="22"/>
        </w:rPr>
        <w:t>plemenná</w:t>
      </w:r>
      <w:r>
        <w:rPr>
          <w:spacing w:val="30"/>
          <w:sz w:val="22"/>
        </w:rPr>
        <w:t> </w:t>
      </w:r>
      <w:r>
        <w:rPr>
          <w:sz w:val="22"/>
        </w:rPr>
        <w:t>hodnota</w:t>
      </w:r>
      <w:r>
        <w:rPr>
          <w:spacing w:val="29"/>
          <w:sz w:val="22"/>
        </w:rPr>
        <w:t> </w:t>
      </w:r>
      <w:r>
        <w:rPr>
          <w:sz w:val="22"/>
        </w:rPr>
        <w:t>umožňuje</w:t>
      </w:r>
      <w:r>
        <w:rPr>
          <w:spacing w:val="28"/>
          <w:sz w:val="22"/>
        </w:rPr>
        <w:t> </w:t>
      </w:r>
      <w:r>
        <w:rPr>
          <w:sz w:val="22"/>
        </w:rPr>
        <w:t>použitie</w:t>
      </w:r>
      <w:r>
        <w:rPr>
          <w:spacing w:val="30"/>
          <w:sz w:val="22"/>
        </w:rPr>
        <w:t> </w:t>
      </w:r>
      <w:r>
        <w:rPr>
          <w:sz w:val="22"/>
        </w:rPr>
        <w:t>na</w:t>
      </w:r>
      <w:r>
        <w:rPr>
          <w:spacing w:val="29"/>
          <w:sz w:val="22"/>
        </w:rPr>
        <w:t> </w:t>
      </w:r>
      <w:r>
        <w:rPr>
          <w:sz w:val="22"/>
        </w:rPr>
        <w:t>účely</w:t>
      </w:r>
      <w:r>
        <w:rPr>
          <w:spacing w:val="27"/>
          <w:sz w:val="22"/>
        </w:rPr>
        <w:t> </w:t>
      </w:r>
      <w:r>
        <w:rPr>
          <w:sz w:val="22"/>
        </w:rPr>
        <w:t>prevádzkovania</w:t>
      </w:r>
      <w:r>
        <w:rPr>
          <w:spacing w:val="30"/>
          <w:sz w:val="22"/>
        </w:rPr>
        <w:t> </w:t>
      </w:r>
      <w:r>
        <w:rPr>
          <w:sz w:val="22"/>
        </w:rPr>
        <w:t>zariadenia</w:t>
      </w:r>
      <w:r>
        <w:rPr>
          <w:spacing w:val="28"/>
          <w:sz w:val="22"/>
        </w:rPr>
        <w:t> </w:t>
      </w:r>
      <w:r>
        <w:rPr>
          <w:sz w:val="22"/>
        </w:rPr>
        <w:t>určeného</w:t>
      </w:r>
      <w:r>
        <w:rPr>
          <w:spacing w:val="30"/>
          <w:sz w:val="22"/>
        </w:rPr>
        <w:t> </w:t>
      </w:r>
      <w:r>
        <w:rPr>
          <w:sz w:val="22"/>
        </w:rPr>
        <w:t>na</w:t>
      </w:r>
      <w:r>
        <w:rPr>
          <w:spacing w:val="29"/>
          <w:sz w:val="22"/>
        </w:rPr>
        <w:t> </w:t>
      </w:r>
      <w:r>
        <w:rPr>
          <w:sz w:val="22"/>
        </w:rPr>
        <w:t>vykonávanie</w:t>
      </w:r>
      <w:r>
        <w:rPr>
          <w:spacing w:val="28"/>
          <w:sz w:val="22"/>
        </w:rPr>
        <w:t> </w:t>
      </w:r>
      <w:r>
        <w:rPr>
          <w:sz w:val="22"/>
        </w:rPr>
        <w:t>výkonnostných testov na testovanie plemennej hodnoty včiel</w:t>
      </w:r>
    </w:p>
    <w:p>
      <w:pPr>
        <w:spacing w:before="0"/>
        <w:ind w:left="247" w:right="0" w:firstLine="0"/>
        <w:jc w:val="left"/>
        <w:rPr>
          <w:sz w:val="22"/>
        </w:rPr>
      </w:pPr>
      <w:r>
        <w:rPr>
          <w:position w:val="-3"/>
        </w:rPr>
        <w:drawing>
          <wp:inline distT="0" distB="0" distL="0" distR="0">
            <wp:extent cx="140207" cy="140512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4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pacing w:val="40"/>
          <w:sz w:val="20"/>
        </w:rPr>
        <w:t>  </w:t>
      </w:r>
      <w:r>
        <w:rPr>
          <w:sz w:val="22"/>
        </w:rPr>
        <w:t>nákup plemennej matky kranskej včely z iného členského štátu Európskej únie alebo z tretieho štátu</w:t>
      </w:r>
    </w:p>
    <w:p>
      <w:pPr>
        <w:pStyle w:val="BodyText"/>
        <w:spacing w:before="121"/>
        <w:ind w:left="232"/>
      </w:pPr>
      <w:r>
        <w:rPr>
          <w:rFonts w:ascii="Symbol" w:hAnsi="Symbol"/>
          <w:position w:val="7"/>
          <w:sz w:val="13"/>
        </w:rPr>
        <w:t></w:t>
      </w:r>
      <w:r>
        <w:rPr>
          <w:spacing w:val="13"/>
          <w:position w:val="7"/>
          <w:sz w:val="13"/>
        </w:rPr>
        <w:t> </w:t>
      </w:r>
      <w:r>
        <w:rPr/>
        <w:t>vyberte</w:t>
      </w:r>
      <w:r>
        <w:rPr>
          <w:spacing w:val="-3"/>
        </w:rPr>
        <w:t> </w:t>
      </w:r>
      <w:r>
        <w:rPr/>
        <w:t>jeden</w:t>
      </w:r>
      <w:r>
        <w:rPr>
          <w:spacing w:val="-2"/>
        </w:rPr>
        <w:t> </w:t>
      </w:r>
      <w:r>
        <w:rPr/>
        <w:t>variant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označte</w:t>
      </w:r>
      <w:r>
        <w:rPr>
          <w:spacing w:val="-4"/>
        </w:rPr>
        <w:t> </w:t>
      </w:r>
      <w:r>
        <w:rPr/>
        <w:t>krížikom</w:t>
      </w:r>
      <w:r>
        <w:rPr>
          <w:spacing w:val="-5"/>
        </w:rPr>
        <w:t> </w:t>
      </w:r>
      <w:r>
        <w:rPr/>
        <w:t>(pre</w:t>
      </w:r>
      <w:r>
        <w:rPr>
          <w:spacing w:val="-5"/>
        </w:rPr>
        <w:t> </w:t>
      </w:r>
      <w:r>
        <w:rPr/>
        <w:t>každý</w:t>
      </w:r>
      <w:r>
        <w:rPr>
          <w:spacing w:val="-5"/>
        </w:rPr>
        <w:t> </w:t>
      </w:r>
      <w:r>
        <w:rPr/>
        <w:t>variant</w:t>
      </w:r>
      <w:r>
        <w:rPr>
          <w:spacing w:val="-5"/>
        </w:rPr>
        <w:t> </w:t>
      </w:r>
      <w:r>
        <w:rPr/>
        <w:t>použite</w:t>
      </w:r>
      <w:r>
        <w:rPr>
          <w:spacing w:val="-3"/>
        </w:rPr>
        <w:t> </w:t>
      </w:r>
      <w:r>
        <w:rPr/>
        <w:t>novú</w:t>
      </w:r>
      <w:r>
        <w:rPr>
          <w:spacing w:val="-2"/>
        </w:rPr>
        <w:t> </w:t>
      </w:r>
      <w:r>
        <w:rPr/>
        <w:t>prílohu</w:t>
      </w:r>
      <w:r>
        <w:rPr>
          <w:spacing w:val="-3"/>
        </w:rPr>
        <w:t> </w:t>
      </w:r>
      <w:r>
        <w:rPr/>
        <w:t>č.</w:t>
      </w:r>
      <w:r>
        <w:rPr>
          <w:spacing w:val="-2"/>
        </w:rPr>
        <w:t> </w:t>
      </w:r>
      <w:r>
        <w:rPr>
          <w:spacing w:val="-5"/>
        </w:rPr>
        <w:t>36)</w:t>
      </w:r>
    </w:p>
    <w:p>
      <w:pPr>
        <w:pStyle w:val="Heading1"/>
        <w:numPr>
          <w:ilvl w:val="0"/>
          <w:numId w:val="1"/>
        </w:numPr>
        <w:tabs>
          <w:tab w:pos="472" w:val="left" w:leader="none"/>
        </w:tabs>
        <w:spacing w:line="240" w:lineRule="auto" w:before="120" w:after="0"/>
        <w:ind w:left="472" w:right="0" w:hanging="240"/>
        <w:jc w:val="left"/>
      </w:pPr>
      <w:r>
        <w:rPr/>
        <w:t>Údaje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predajcovi</w:t>
      </w:r>
      <w:r>
        <w:rPr>
          <w:spacing w:val="-1"/>
        </w:rPr>
        <w:t> </w:t>
      </w:r>
      <w:r>
        <w:rPr/>
        <w:t>včelích</w:t>
      </w:r>
      <w:r>
        <w:rPr>
          <w:spacing w:val="-1"/>
        </w:rPr>
        <w:t> </w:t>
      </w:r>
      <w:r>
        <w:rPr>
          <w:spacing w:val="-2"/>
        </w:rPr>
        <w:t>matiek:</w:t>
      </w:r>
    </w:p>
    <w:p>
      <w:pPr>
        <w:pStyle w:val="BodyText"/>
        <w:spacing w:before="1"/>
        <w:ind w:left="232"/>
      </w:pPr>
      <w:r>
        <w:rPr/>
        <w:t>Pri</w:t>
      </w:r>
      <w:r>
        <w:rPr>
          <w:spacing w:val="-5"/>
        </w:rPr>
        <w:t> </w:t>
      </w:r>
      <w:r>
        <w:rPr/>
        <w:t>nedostatku</w:t>
      </w:r>
      <w:r>
        <w:rPr>
          <w:spacing w:val="-4"/>
        </w:rPr>
        <w:t> </w:t>
      </w:r>
      <w:r>
        <w:rPr/>
        <w:t>miesta</w:t>
      </w:r>
      <w:r>
        <w:rPr>
          <w:spacing w:val="-4"/>
        </w:rPr>
        <w:t> </w:t>
      </w:r>
      <w:r>
        <w:rPr/>
        <w:t>pokračujte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tabuľke</w:t>
      </w:r>
      <w:r>
        <w:rPr>
          <w:spacing w:val="-7"/>
        </w:rPr>
        <w:t> </w:t>
      </w:r>
      <w:r>
        <w:rPr/>
        <w:t>na</w:t>
      </w:r>
      <w:r>
        <w:rPr>
          <w:spacing w:val="-4"/>
        </w:rPr>
        <w:t> </w:t>
      </w:r>
      <w:r>
        <w:rPr/>
        <w:t>samostatnom</w:t>
      </w:r>
      <w:r>
        <w:rPr>
          <w:spacing w:val="-7"/>
        </w:rPr>
        <w:t> </w:t>
      </w:r>
      <w:r>
        <w:rPr>
          <w:spacing w:val="-2"/>
        </w:rPr>
        <w:t>liste/listoch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3437"/>
        <w:gridCol w:w="1702"/>
        <w:gridCol w:w="1701"/>
        <w:gridCol w:w="1985"/>
        <w:gridCol w:w="1843"/>
        <w:gridCol w:w="1844"/>
        <w:gridCol w:w="1419"/>
      </w:tblGrid>
      <w:tr>
        <w:trPr>
          <w:trHeight w:val="690" w:hRule="atLeast"/>
        </w:trPr>
        <w:tc>
          <w:tcPr>
            <w:tcW w:w="638" w:type="dxa"/>
          </w:tcPr>
          <w:p>
            <w:pPr>
              <w:pStyle w:val="TableParagraph"/>
              <w:spacing w:before="115"/>
              <w:ind w:left="129" w:right="111" w:firstLine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Por. </w:t>
            </w:r>
            <w:r>
              <w:rPr>
                <w:b/>
                <w:spacing w:val="-2"/>
                <w:sz w:val="20"/>
              </w:rPr>
              <w:t>číslo</w:t>
            </w:r>
          </w:p>
        </w:tc>
        <w:tc>
          <w:tcPr>
            <w:tcW w:w="34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986"/>
              <w:rPr>
                <w:b/>
                <w:sz w:val="20"/>
              </w:rPr>
            </w:pPr>
            <w:r>
              <w:rPr>
                <w:b/>
                <w:sz w:val="20"/>
              </w:rPr>
              <w:t>Meno,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priezvisko</w:t>
            </w:r>
          </w:p>
        </w:tc>
        <w:tc>
          <w:tcPr>
            <w:tcW w:w="1702" w:type="dxa"/>
          </w:tcPr>
          <w:p>
            <w:pPr>
              <w:pStyle w:val="TableParagraph"/>
              <w:spacing w:line="230" w:lineRule="atLeast"/>
              <w:ind w:left="403" w:right="275" w:hanging="130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CRV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/ kód farmy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z CEHZ</w:t>
            </w:r>
          </w:p>
        </w:tc>
        <w:tc>
          <w:tcPr>
            <w:tcW w:w="1701" w:type="dxa"/>
          </w:tcPr>
          <w:p>
            <w:pPr>
              <w:pStyle w:val="TableParagraph"/>
              <w:spacing w:before="115"/>
              <w:ind w:left="427" w:right="260" w:hanging="149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dekrétu </w:t>
            </w:r>
            <w:r>
              <w:rPr>
                <w:b/>
                <w:spacing w:val="-2"/>
                <w:sz w:val="20"/>
              </w:rPr>
              <w:t>chovateľa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nákupu</w:t>
            </w:r>
          </w:p>
        </w:tc>
        <w:tc>
          <w:tcPr>
            <w:tcW w:w="1843" w:type="dxa"/>
          </w:tcPr>
          <w:p>
            <w:pPr>
              <w:pStyle w:val="TableParagraph"/>
              <w:spacing w:before="115"/>
              <w:ind w:left="308" w:right="128" w:hanging="168"/>
              <w:rPr>
                <w:b/>
                <w:sz w:val="20"/>
              </w:rPr>
            </w:pPr>
            <w:r>
              <w:rPr>
                <w:b/>
                <w:sz w:val="20"/>
              </w:rPr>
              <w:t>Počet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nakúpených včelích matiek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5"/>
              <w:ind w:left="572" w:right="231" w:hanging="332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účtovného </w:t>
            </w:r>
            <w:r>
              <w:rPr>
                <w:b/>
                <w:spacing w:val="-2"/>
                <w:sz w:val="20"/>
              </w:rPr>
              <w:t>dokladu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4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Suma*</w:t>
            </w:r>
          </w:p>
        </w:tc>
      </w:tr>
      <w:tr>
        <w:trPr>
          <w:trHeight w:val="453" w:hRule="atLeast"/>
        </w:trPr>
        <w:tc>
          <w:tcPr>
            <w:tcW w:w="638" w:type="dxa"/>
          </w:tcPr>
          <w:p>
            <w:pPr>
              <w:pStyle w:val="TableParagraph"/>
              <w:spacing w:before="8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6" w:hRule="atLeast"/>
        </w:trPr>
        <w:tc>
          <w:tcPr>
            <w:tcW w:w="638" w:type="dxa"/>
          </w:tcPr>
          <w:p>
            <w:pPr>
              <w:pStyle w:val="TableParagraph"/>
              <w:spacing w:before="88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638" w:type="dxa"/>
          </w:tcPr>
          <w:p>
            <w:pPr>
              <w:pStyle w:val="TableParagraph"/>
              <w:spacing w:before="8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638" w:type="dxa"/>
          </w:tcPr>
          <w:p>
            <w:pPr>
              <w:pStyle w:val="TableParagraph"/>
              <w:spacing w:before="8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ind w:left="232"/>
      </w:pPr>
      <w:r>
        <w:rPr/>
        <w:t>*</w:t>
      </w:r>
      <w:r>
        <w:rPr>
          <w:spacing w:val="-12"/>
        </w:rPr>
        <w:t> </w:t>
      </w:r>
      <w:r>
        <w:rPr/>
        <w:t>uvádza</w:t>
      </w:r>
      <w:r>
        <w:rPr>
          <w:spacing w:val="-4"/>
        </w:rPr>
        <w:t> </w:t>
      </w:r>
      <w:r>
        <w:rPr/>
        <w:t>sa</w:t>
      </w:r>
      <w:r>
        <w:rPr>
          <w:spacing w:val="-4"/>
        </w:rPr>
        <w:t> </w:t>
      </w:r>
      <w:r>
        <w:rPr/>
        <w:t>skutočne</w:t>
      </w:r>
      <w:r>
        <w:rPr>
          <w:spacing w:val="-4"/>
        </w:rPr>
        <w:t> </w:t>
      </w:r>
      <w:r>
        <w:rPr/>
        <w:t>uhradená</w:t>
      </w:r>
      <w:r>
        <w:rPr>
          <w:spacing w:val="-5"/>
        </w:rPr>
        <w:t> </w:t>
      </w:r>
      <w:r>
        <w:rPr/>
        <w:t>suma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nákup</w:t>
      </w:r>
      <w:r>
        <w:rPr>
          <w:spacing w:val="-5"/>
        </w:rPr>
        <w:t> </w:t>
      </w:r>
      <w:r>
        <w:rPr/>
        <w:t>včelích</w:t>
      </w:r>
      <w:r>
        <w:rPr>
          <w:spacing w:val="-3"/>
        </w:rPr>
        <w:t> </w:t>
      </w:r>
      <w:r>
        <w:rPr/>
        <w:t>matiek</w:t>
      </w:r>
      <w:r>
        <w:rPr>
          <w:spacing w:val="-1"/>
        </w:rPr>
        <w:t> </w:t>
      </w:r>
      <w:r>
        <w:rPr/>
        <w:t>(v</w:t>
      </w:r>
      <w:r>
        <w:rPr>
          <w:spacing w:val="-4"/>
        </w:rPr>
        <w:t> </w:t>
      </w:r>
      <w:r>
        <w:rPr/>
        <w:t>EUR),</w:t>
      </w:r>
      <w:r>
        <w:rPr>
          <w:spacing w:val="-3"/>
        </w:rPr>
        <w:t> </w:t>
      </w:r>
      <w:r>
        <w:rPr/>
        <w:t>nie</w:t>
      </w:r>
      <w:r>
        <w:rPr>
          <w:spacing w:val="-4"/>
        </w:rPr>
        <w:t> </w:t>
      </w:r>
      <w:r>
        <w:rPr/>
        <w:t>suma</w:t>
      </w:r>
      <w:r>
        <w:rPr>
          <w:spacing w:val="-4"/>
        </w:rPr>
        <w:t> </w:t>
      </w:r>
      <w:r>
        <w:rPr/>
        <w:t>žiadanej</w:t>
      </w:r>
      <w:r>
        <w:rPr>
          <w:spacing w:val="-3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6840" w:h="11910" w:orient="landscape"/>
          <w:pgMar w:header="717" w:footer="0" w:top="1320" w:bottom="280" w:left="900" w:right="1120"/>
        </w:sectPr>
      </w:pPr>
    </w:p>
    <w:p>
      <w:pPr>
        <w:pStyle w:val="Heading1"/>
        <w:numPr>
          <w:ilvl w:val="0"/>
          <w:numId w:val="1"/>
        </w:numPr>
        <w:tabs>
          <w:tab w:pos="472" w:val="left" w:leader="none"/>
        </w:tabs>
        <w:spacing w:line="240" w:lineRule="auto" w:before="80" w:after="0"/>
        <w:ind w:left="472" w:right="0" w:hanging="240"/>
        <w:jc w:val="left"/>
      </w:pPr>
      <w:r>
        <w:rPr/>
        <w:t>Včelie</w:t>
      </w:r>
      <w:r>
        <w:rPr>
          <w:spacing w:val="-4"/>
        </w:rPr>
        <w:t> </w:t>
      </w:r>
      <w:r>
        <w:rPr>
          <w:spacing w:val="-2"/>
        </w:rPr>
        <w:t>matky</w:t>
      </w:r>
    </w:p>
    <w:p>
      <w:pPr>
        <w:pStyle w:val="BodyText"/>
        <w:spacing w:before="46"/>
        <w:rPr>
          <w:b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2977"/>
        <w:gridCol w:w="1277"/>
        <w:gridCol w:w="1702"/>
        <w:gridCol w:w="1842"/>
      </w:tblGrid>
      <w:tr>
        <w:trPr>
          <w:trHeight w:val="551" w:hRule="atLeast"/>
        </w:trPr>
        <w:tc>
          <w:tcPr>
            <w:tcW w:w="1952" w:type="dxa"/>
          </w:tcPr>
          <w:p>
            <w:pPr>
              <w:pStyle w:val="TableParagraph"/>
              <w:spacing w:line="276" w:lineRule="exact"/>
              <w:ind w:left="587" w:right="180" w:hanging="396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účtovného </w:t>
            </w:r>
            <w:r>
              <w:rPr>
                <w:spacing w:val="-2"/>
                <w:sz w:val="24"/>
              </w:rPr>
              <w:t>dokladu</w:t>
            </w:r>
          </w:p>
        </w:tc>
        <w:tc>
          <w:tcPr>
            <w:tcW w:w="2977" w:type="dxa"/>
          </w:tcPr>
          <w:p>
            <w:pPr>
              <w:pStyle w:val="TableParagraph"/>
              <w:spacing w:line="276" w:lineRule="exact"/>
              <w:ind w:left="1187" w:right="400" w:hanging="780"/>
              <w:rPr>
                <w:sz w:val="24"/>
              </w:rPr>
            </w:pPr>
            <w:r>
              <w:rPr>
                <w:sz w:val="24"/>
              </w:rPr>
              <w:t>Evidenčné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včelej </w:t>
            </w:r>
            <w:r>
              <w:rPr>
                <w:spacing w:val="-2"/>
                <w:sz w:val="24"/>
              </w:rPr>
              <w:t>matky</w:t>
            </w:r>
          </w:p>
        </w:tc>
        <w:tc>
          <w:tcPr>
            <w:tcW w:w="1277" w:type="dxa"/>
          </w:tcPr>
          <w:p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množstvo</w:t>
            </w:r>
          </w:p>
        </w:tc>
        <w:tc>
          <w:tcPr>
            <w:tcW w:w="1702" w:type="dxa"/>
          </w:tcPr>
          <w:p>
            <w:pPr>
              <w:pStyle w:val="TableParagraph"/>
              <w:spacing w:line="275" w:lineRule="exact"/>
              <w:ind w:left="296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kus</w:t>
            </w:r>
          </w:p>
        </w:tc>
        <w:tc>
          <w:tcPr>
            <w:tcW w:w="1842" w:type="dxa"/>
          </w:tcPr>
          <w:p>
            <w:pPr>
              <w:pStyle w:val="TableParagraph"/>
              <w:spacing w:line="275" w:lineRule="exact"/>
              <w:ind w:left="315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celkom</w:t>
            </w:r>
          </w:p>
        </w:tc>
      </w:tr>
      <w:tr>
        <w:trPr>
          <w:trHeight w:val="275" w:hRule="atLeast"/>
        </w:trPr>
        <w:tc>
          <w:tcPr>
            <w:tcW w:w="19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0" w:after="0"/>
        <w:ind w:left="472" w:right="0" w:hanging="240"/>
        <w:jc w:val="left"/>
        <w:rPr>
          <w:b/>
          <w:sz w:val="24"/>
        </w:rPr>
      </w:pPr>
      <w:r>
        <w:rPr>
          <w:b/>
          <w:sz w:val="24"/>
        </w:rPr>
        <w:t>Vyhlásenie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konečného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prijímateľa</w:t>
      </w:r>
      <w:r>
        <w:rPr>
          <w:b/>
          <w:spacing w:val="-2"/>
          <w:sz w:val="24"/>
        </w:rPr>
        <w:t> podpory:</w:t>
      </w:r>
    </w:p>
    <w:p>
      <w:pPr>
        <w:pStyle w:val="BodyText"/>
        <w:spacing w:before="2"/>
        <w:ind w:left="232"/>
      </w:pPr>
      <w:r>
        <w:rPr/>
        <w:t>Konečný</w:t>
      </w:r>
      <w:r>
        <w:rPr>
          <w:spacing w:val="-9"/>
        </w:rPr>
        <w:t> </w:t>
      </w:r>
      <w:r>
        <w:rPr/>
        <w:t>prijímateľ</w:t>
      </w:r>
      <w:r>
        <w:rPr>
          <w:spacing w:val="-4"/>
        </w:rPr>
        <w:t> </w:t>
      </w:r>
      <w:r>
        <w:rPr/>
        <w:t>podpory</w:t>
      </w:r>
      <w:r>
        <w:rPr>
          <w:spacing w:val="-8"/>
        </w:rPr>
        <w:t> </w:t>
      </w:r>
      <w:r>
        <w:rPr/>
        <w:t>vyhlasuje,</w:t>
      </w:r>
      <w:r>
        <w:rPr>
          <w:spacing w:val="-8"/>
        </w:rPr>
        <w:t> </w:t>
      </w:r>
      <w:r>
        <w:rPr>
          <w:spacing w:val="-5"/>
        </w:rPr>
        <w:t>že</w:t>
      </w:r>
    </w:p>
    <w:p>
      <w:pPr>
        <w:pStyle w:val="ListParagraph"/>
        <w:numPr>
          <w:ilvl w:val="1"/>
          <w:numId w:val="1"/>
        </w:numPr>
        <w:tabs>
          <w:tab w:pos="592" w:val="left" w:leader="none"/>
        </w:tabs>
        <w:spacing w:line="240" w:lineRule="auto" w:before="1" w:after="0"/>
        <w:ind w:left="592" w:right="0" w:hanging="360"/>
        <w:jc w:val="left"/>
        <w:rPr>
          <w:sz w:val="20"/>
        </w:rPr>
      </w:pPr>
      <w:r>
        <w:rPr>
          <w:sz w:val="20"/>
        </w:rPr>
        <w:t>všetky</w:t>
      </w:r>
      <w:r>
        <w:rPr>
          <w:spacing w:val="-3"/>
          <w:sz w:val="20"/>
        </w:rPr>
        <w:t> </w:t>
      </w:r>
      <w:r>
        <w:rPr>
          <w:sz w:val="20"/>
        </w:rPr>
        <w:t>tu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5"/>
          <w:sz w:val="20"/>
        </w:rPr>
        <w:t> </w:t>
      </w:r>
      <w:r>
        <w:rPr>
          <w:sz w:val="20"/>
        </w:rPr>
        <w:t>údaje</w:t>
      </w:r>
      <w:r>
        <w:rPr>
          <w:spacing w:val="-4"/>
          <w:sz w:val="20"/>
        </w:rPr>
        <w:t> </w:t>
      </w:r>
      <w:r>
        <w:rPr>
          <w:sz w:val="20"/>
        </w:rPr>
        <w:t>sú</w:t>
      </w:r>
      <w:r>
        <w:rPr>
          <w:spacing w:val="-3"/>
          <w:sz w:val="20"/>
        </w:rPr>
        <w:t> </w:t>
      </w:r>
      <w:r>
        <w:rPr>
          <w:sz w:val="20"/>
        </w:rPr>
        <w:t>správne,</w:t>
      </w:r>
      <w:r>
        <w:rPr>
          <w:spacing w:val="-3"/>
          <w:sz w:val="20"/>
        </w:rPr>
        <w:t> </w:t>
      </w:r>
      <w:r>
        <w:rPr>
          <w:sz w:val="20"/>
        </w:rPr>
        <w:t>úplné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pravdivé,</w:t>
      </w:r>
    </w:p>
    <w:p>
      <w:pPr>
        <w:pStyle w:val="ListParagraph"/>
        <w:numPr>
          <w:ilvl w:val="1"/>
          <w:numId w:val="1"/>
        </w:numPr>
        <w:tabs>
          <w:tab w:pos="590" w:val="left" w:leader="none"/>
        </w:tabs>
        <w:spacing w:line="240" w:lineRule="auto" w:before="0" w:after="0"/>
        <w:ind w:left="590" w:right="0" w:hanging="358"/>
        <w:jc w:val="left"/>
        <w:rPr>
          <w:sz w:val="20"/>
        </w:rPr>
      </w:pPr>
      <w:r>
        <w:rPr>
          <w:sz w:val="20"/>
        </w:rPr>
        <w:t>sú</w:t>
      </w:r>
      <w:r>
        <w:rPr>
          <w:spacing w:val="-4"/>
          <w:sz w:val="20"/>
        </w:rPr>
        <w:t> </w:t>
      </w:r>
      <w:r>
        <w:rPr>
          <w:sz w:val="20"/>
        </w:rPr>
        <w:t>mu</w:t>
      </w:r>
      <w:r>
        <w:rPr>
          <w:spacing w:val="-3"/>
          <w:sz w:val="20"/>
        </w:rPr>
        <w:t> </w:t>
      </w:r>
      <w:r>
        <w:rPr>
          <w:sz w:val="20"/>
        </w:rPr>
        <w:t>známe</w:t>
      </w:r>
      <w:r>
        <w:rPr>
          <w:spacing w:val="-6"/>
          <w:sz w:val="20"/>
        </w:rPr>
        <w:t> </w:t>
      </w:r>
      <w:r>
        <w:rPr>
          <w:sz w:val="20"/>
        </w:rPr>
        <w:t>podmienky</w:t>
      </w:r>
      <w:r>
        <w:rPr>
          <w:spacing w:val="-4"/>
          <w:sz w:val="20"/>
        </w:rPr>
        <w:t> </w:t>
      </w:r>
      <w:r>
        <w:rPr>
          <w:sz w:val="20"/>
        </w:rPr>
        <w:t>poskytovania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si</w:t>
      </w:r>
      <w:r>
        <w:rPr>
          <w:spacing w:val="-5"/>
          <w:sz w:val="20"/>
        </w:rPr>
        <w:t> </w:t>
      </w:r>
      <w:r>
        <w:rPr>
          <w:sz w:val="20"/>
        </w:rPr>
        <w:t>vedomý</w:t>
      </w:r>
      <w:r>
        <w:rPr>
          <w:spacing w:val="-4"/>
          <w:sz w:val="20"/>
        </w:rPr>
        <w:t> </w:t>
      </w:r>
      <w:r>
        <w:rPr>
          <w:sz w:val="20"/>
        </w:rPr>
        <w:t>požiadaviek</w:t>
      </w:r>
      <w:r>
        <w:rPr>
          <w:spacing w:val="-4"/>
          <w:sz w:val="20"/>
        </w:rPr>
        <w:t> </w:t>
      </w:r>
      <w:r>
        <w:rPr>
          <w:sz w:val="20"/>
        </w:rPr>
        <w:t>vzťahujúcich</w:t>
      </w:r>
      <w:r>
        <w:rPr>
          <w:spacing w:val="-5"/>
          <w:sz w:val="20"/>
        </w:rPr>
        <w:t> </w:t>
      </w:r>
      <w:r>
        <w:rPr>
          <w:sz w:val="20"/>
        </w:rPr>
        <w:t>sa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podporu,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ktorú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žiada,</w:t>
      </w:r>
    </w:p>
    <w:p>
      <w:pPr>
        <w:pStyle w:val="ListParagraph"/>
        <w:numPr>
          <w:ilvl w:val="1"/>
          <w:numId w:val="1"/>
        </w:numPr>
        <w:tabs>
          <w:tab w:pos="592" w:val="left" w:leader="none"/>
        </w:tabs>
        <w:spacing w:line="240" w:lineRule="auto" w:before="0" w:after="0"/>
        <w:ind w:left="592" w:right="0" w:hanging="360"/>
        <w:jc w:val="left"/>
        <w:rPr>
          <w:sz w:val="20"/>
        </w:rPr>
      </w:pPr>
      <w:r>
        <w:rPr>
          <w:sz w:val="20"/>
        </w:rPr>
        <w:t>sa</w:t>
      </w:r>
      <w:r>
        <w:rPr>
          <w:spacing w:val="-5"/>
          <w:sz w:val="20"/>
        </w:rPr>
        <w:t> </w:t>
      </w:r>
      <w:r>
        <w:rPr>
          <w:sz w:val="20"/>
        </w:rPr>
        <w:t>mu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ten</w:t>
      </w:r>
      <w:r>
        <w:rPr>
          <w:spacing w:val="-3"/>
          <w:sz w:val="20"/>
        </w:rPr>
        <w:t> </w:t>
      </w:r>
      <w:r>
        <w:rPr>
          <w:sz w:val="20"/>
        </w:rPr>
        <w:t>istý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7"/>
          <w:sz w:val="20"/>
        </w:rPr>
        <w:t> </w:t>
      </w:r>
      <w:r>
        <w:rPr>
          <w:sz w:val="20"/>
        </w:rPr>
        <w:t>neposkytla</w:t>
      </w:r>
      <w:r>
        <w:rPr>
          <w:spacing w:val="-4"/>
          <w:sz w:val="20"/>
        </w:rPr>
        <w:t> </w:t>
      </w:r>
      <w:r>
        <w:rPr>
          <w:sz w:val="20"/>
        </w:rPr>
        <w:t>iná</w:t>
      </w:r>
      <w:r>
        <w:rPr>
          <w:spacing w:val="-5"/>
          <w:sz w:val="20"/>
        </w:rPr>
        <w:t> </w:t>
      </w:r>
      <w:r>
        <w:rPr>
          <w:sz w:val="20"/>
        </w:rPr>
        <w:t>dotácia</w:t>
      </w:r>
      <w:r>
        <w:rPr>
          <w:spacing w:val="-4"/>
          <w:sz w:val="20"/>
        </w:rPr>
        <w:t> </w:t>
      </w:r>
      <w:r>
        <w:rPr>
          <w:sz w:val="20"/>
        </w:rPr>
        <w:t>zo</w:t>
      </w:r>
      <w:r>
        <w:rPr>
          <w:spacing w:val="1"/>
          <w:sz w:val="20"/>
        </w:rPr>
        <w:t> </w:t>
      </w:r>
      <w:r>
        <w:rPr>
          <w:sz w:val="20"/>
        </w:rPr>
        <w:t>štátneho</w:t>
      </w:r>
      <w:r>
        <w:rPr>
          <w:spacing w:val="-4"/>
          <w:sz w:val="20"/>
        </w:rPr>
        <w:t> </w:t>
      </w:r>
      <w:r>
        <w:rPr>
          <w:sz w:val="20"/>
        </w:rPr>
        <w:t>rozpočtu</w:t>
      </w:r>
      <w:r>
        <w:rPr>
          <w:spacing w:val="-3"/>
          <w:sz w:val="20"/>
        </w:rPr>
        <w:t> </w:t>
      </w:r>
      <w:r>
        <w:rPr>
          <w:sz w:val="20"/>
        </w:rPr>
        <w:t>alebo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prostriedkov</w:t>
      </w:r>
      <w:r>
        <w:rPr>
          <w:spacing w:val="-4"/>
          <w:sz w:val="20"/>
        </w:rPr>
        <w:t> </w:t>
      </w:r>
      <w:r>
        <w:rPr>
          <w:sz w:val="20"/>
        </w:rPr>
        <w:t>Európskej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únie,</w:t>
      </w:r>
    </w:p>
    <w:p>
      <w:pPr>
        <w:pStyle w:val="ListParagraph"/>
        <w:numPr>
          <w:ilvl w:val="1"/>
          <w:numId w:val="1"/>
        </w:numPr>
        <w:tabs>
          <w:tab w:pos="590" w:val="left" w:leader="none"/>
          <w:tab w:pos="592" w:val="left" w:leader="none"/>
        </w:tabs>
        <w:spacing w:line="240" w:lineRule="auto" w:before="1" w:after="0"/>
        <w:ind w:left="592" w:right="294" w:hanging="360"/>
        <w:jc w:val="both"/>
        <w:rPr>
          <w:sz w:val="20"/>
        </w:rPr>
      </w:pPr>
      <w:r>
        <w:rPr>
          <w:sz w:val="20"/>
        </w:rPr>
        <w:t>súhlasí so spracúvaním</w:t>
      </w:r>
      <w:r>
        <w:rPr>
          <w:spacing w:val="6"/>
          <w:sz w:val="20"/>
        </w:rPr>
        <w:t> </w:t>
      </w:r>
      <w:r>
        <w:rPr>
          <w:sz w:val="20"/>
        </w:rPr>
        <w:t>tu uvedených osobných údajov v súlade s ustanovením zákona č.18/2018</w:t>
      </w:r>
      <w:r>
        <w:rPr>
          <w:spacing w:val="7"/>
          <w:sz w:val="20"/>
        </w:rPr>
        <w:t> </w:t>
      </w:r>
      <w:r>
        <w:rPr>
          <w:sz w:val="20"/>
        </w:rPr>
        <w:t>Z. z. o ochrane osobných údajov a o zmene a doplnení niektorých zákonov</w:t>
      </w:r>
      <w:r>
        <w:rPr>
          <w:spacing w:val="40"/>
          <w:sz w:val="20"/>
        </w:rPr>
        <w:t> </w:t>
      </w:r>
      <w:r>
        <w:rPr>
          <w:sz w:val="20"/>
        </w:rPr>
        <w:t>a nariadením Európskeho parlamentu a Rady (EÚ) 2016/679 z 27. apríla 2016 o ochrane fyzických osôb pri spracúvaní osobných údajov a o voľnom</w:t>
      </w:r>
      <w:r>
        <w:rPr>
          <w:spacing w:val="32"/>
          <w:sz w:val="20"/>
        </w:rPr>
        <w:t> </w:t>
      </w:r>
      <w:r>
        <w:rPr>
          <w:sz w:val="20"/>
        </w:rPr>
        <w:t>pohybe takýchto údajov, ktorým sa zrušuje smernica 95/46/ES (prehľad spracovateľských činností osobných údajov je dostupný na webom sídle Pôdohospodárskej platobnej agentúry),</w:t>
      </w:r>
    </w:p>
    <w:p>
      <w:pPr>
        <w:pStyle w:val="ListParagraph"/>
        <w:numPr>
          <w:ilvl w:val="1"/>
          <w:numId w:val="1"/>
        </w:numPr>
        <w:tabs>
          <w:tab w:pos="590" w:val="left" w:leader="none"/>
          <w:tab w:pos="592" w:val="left" w:leader="none"/>
        </w:tabs>
        <w:spacing w:line="240" w:lineRule="auto" w:before="0" w:after="0"/>
        <w:ind w:left="592" w:right="298" w:hanging="360"/>
        <w:jc w:val="both"/>
        <w:rPr>
          <w:sz w:val="20"/>
        </w:rPr>
      </w:pPr>
      <w:r>
        <w:rPr>
          <w:sz w:val="20"/>
        </w:rPr>
        <w:t>súhlasí so sprístupnením informácií v zmysle zákona č. 211/2000 Z. z. o slobodnom prístupe k informáciám a o zmene a doplnení niektorých zákonov (zákon o slobode informácií) v znení neskorších predpisov,</w:t>
      </w:r>
    </w:p>
    <w:p>
      <w:pPr>
        <w:pStyle w:val="ListParagraph"/>
        <w:numPr>
          <w:ilvl w:val="1"/>
          <w:numId w:val="1"/>
        </w:numPr>
        <w:tabs>
          <w:tab w:pos="590" w:val="left" w:leader="none"/>
        </w:tabs>
        <w:spacing w:line="229" w:lineRule="exact" w:before="0" w:after="0"/>
        <w:ind w:left="590" w:right="0" w:hanging="358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6"/>
          <w:sz w:val="20"/>
        </w:rPr>
        <w:t> </w:t>
      </w:r>
      <w:r>
        <w:rPr>
          <w:sz w:val="20"/>
        </w:rPr>
        <w:t>súčinnosť</w:t>
      </w:r>
      <w:r>
        <w:rPr>
          <w:spacing w:val="-4"/>
          <w:sz w:val="20"/>
        </w:rPr>
        <w:t> </w:t>
      </w:r>
      <w:r>
        <w:rPr>
          <w:sz w:val="20"/>
        </w:rPr>
        <w:t>kontrolným</w:t>
      </w:r>
      <w:r>
        <w:rPr>
          <w:spacing w:val="-4"/>
          <w:sz w:val="20"/>
        </w:rPr>
        <w:t> </w:t>
      </w:r>
      <w:r>
        <w:rPr>
          <w:sz w:val="20"/>
        </w:rPr>
        <w:t>orgánom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vykonanie</w:t>
      </w:r>
      <w:r>
        <w:rPr>
          <w:spacing w:val="-5"/>
          <w:sz w:val="20"/>
        </w:rPr>
        <w:t> </w:t>
      </w:r>
      <w:r>
        <w:rPr>
          <w:sz w:val="20"/>
        </w:rPr>
        <w:t>všetkých</w:t>
      </w:r>
      <w:r>
        <w:rPr>
          <w:spacing w:val="-4"/>
          <w:sz w:val="20"/>
        </w:rPr>
        <w:t> </w:t>
      </w:r>
      <w:r>
        <w:rPr>
          <w:sz w:val="20"/>
        </w:rPr>
        <w:t>kontrol,</w:t>
      </w:r>
      <w:r>
        <w:rPr>
          <w:spacing w:val="-7"/>
          <w:sz w:val="20"/>
        </w:rPr>
        <w:t> </w:t>
      </w:r>
      <w:r>
        <w:rPr>
          <w:sz w:val="20"/>
        </w:rPr>
        <w:t>vrátane</w:t>
      </w:r>
      <w:r>
        <w:rPr>
          <w:spacing w:val="-7"/>
          <w:sz w:val="20"/>
        </w:rPr>
        <w:t> </w:t>
      </w:r>
      <w:r>
        <w:rPr>
          <w:sz w:val="20"/>
        </w:rPr>
        <w:t>kontrol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mieste,</w:t>
      </w:r>
    </w:p>
    <w:p>
      <w:pPr>
        <w:pStyle w:val="ListParagraph"/>
        <w:numPr>
          <w:ilvl w:val="1"/>
          <w:numId w:val="1"/>
        </w:numPr>
        <w:tabs>
          <w:tab w:pos="590" w:val="left" w:leader="none"/>
          <w:tab w:pos="592" w:val="left" w:leader="none"/>
        </w:tabs>
        <w:spacing w:line="240" w:lineRule="auto" w:before="0" w:after="0"/>
        <w:ind w:left="592" w:right="295" w:hanging="360"/>
        <w:jc w:val="both"/>
        <w:rPr>
          <w:sz w:val="20"/>
        </w:rPr>
      </w:pPr>
      <w:r>
        <w:rPr>
          <w:sz w:val="20"/>
        </w:rPr>
        <w:t>je si vedomý toho, že v prípade uvedenia nesprávnych údajov, ako aj v prípade nedodržania podmienok poskytovania podpory sa dopúšťa správneho deliktu, za ktorý môže byť udelená pokuta a povinnosť vrátiť poskytnutú podporu aj s úrokmi, resp. penále,</w:t>
      </w:r>
    </w:p>
    <w:p>
      <w:pPr>
        <w:pStyle w:val="ListParagraph"/>
        <w:numPr>
          <w:ilvl w:val="1"/>
          <w:numId w:val="1"/>
        </w:numPr>
        <w:tabs>
          <w:tab w:pos="590" w:val="left" w:leader="none"/>
          <w:tab w:pos="592" w:val="left" w:leader="none"/>
        </w:tabs>
        <w:spacing w:line="240" w:lineRule="auto" w:before="0" w:after="0"/>
        <w:ind w:left="592" w:right="296" w:hanging="360"/>
        <w:jc w:val="both"/>
        <w:rPr>
          <w:sz w:val="20"/>
        </w:rPr>
      </w:pPr>
      <w:r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pacing w:val="-2"/>
          <w:sz w:val="20"/>
        </w:rPr>
        <w:t> </w:t>
      </w:r>
      <w:r>
        <w:rPr>
          <w:sz w:val="20"/>
        </w:rPr>
        <w:t>podmienky, ktoré nespĺňa, a to uvedením do omylu v otázke ich splnenia, môže byť posúdené ako trestný čin subvenčného podvodu v zmysle zákona č. 300/2005 Z. z. Trestný zákon v znení neskorších predpisov.</w:t>
      </w:r>
    </w:p>
    <w:p>
      <w:pPr>
        <w:pStyle w:val="BodyText"/>
        <w:spacing w:before="46"/>
      </w:pPr>
    </w:p>
    <w:p>
      <w:pPr>
        <w:pStyle w:val="Heading1"/>
        <w:numPr>
          <w:ilvl w:val="0"/>
          <w:numId w:val="1"/>
        </w:numPr>
        <w:tabs>
          <w:tab w:pos="614" w:val="left" w:leader="none"/>
        </w:tabs>
        <w:spacing w:line="240" w:lineRule="auto" w:before="0" w:after="0"/>
        <w:ind w:left="614" w:right="0" w:hanging="240"/>
        <w:jc w:val="left"/>
      </w:pPr>
      <w:r>
        <w:rPr/>
        <w:t>Údaje</w:t>
      </w:r>
      <w:r>
        <w:rPr>
          <w:spacing w:val="-3"/>
        </w:rPr>
        <w:t> </w:t>
      </w:r>
      <w:r>
        <w:rPr/>
        <w:t>o počte</w:t>
      </w:r>
      <w:r>
        <w:rPr>
          <w:spacing w:val="-2"/>
        </w:rPr>
        <w:t> včelstiev:</w:t>
      </w:r>
    </w:p>
    <w:p>
      <w:pPr>
        <w:pStyle w:val="BodyText"/>
        <w:ind w:left="119"/>
      </w:pPr>
      <w:r>
        <w:rPr/>
        <mc:AlternateContent>
          <mc:Choice Requires="wps">
            <w:drawing>
              <wp:inline distT="0" distB="0" distL="0" distR="0">
                <wp:extent cx="5297170" cy="187960"/>
                <wp:effectExtent l="0" t="0" r="0" b="2539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297170" cy="187960"/>
                          <a:chExt cx="5297170" cy="18796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299839" y="12"/>
                            <a:ext cx="99695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187960">
                                <a:moveTo>
                                  <a:pt x="996937" y="181356"/>
                                </a:moveTo>
                                <a:lnTo>
                                  <a:pt x="990904" y="181356"/>
                                </a:lnTo>
                                <a:lnTo>
                                  <a:pt x="6096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187439"/>
                                </a:lnTo>
                                <a:lnTo>
                                  <a:pt x="6096" y="187439"/>
                                </a:lnTo>
                                <a:lnTo>
                                  <a:pt x="990854" y="187439"/>
                                </a:lnTo>
                                <a:lnTo>
                                  <a:pt x="996937" y="187439"/>
                                </a:lnTo>
                                <a:lnTo>
                                  <a:pt x="996937" y="181356"/>
                                </a:lnTo>
                                <a:close/>
                              </a:path>
                              <a:path w="996950" h="187960">
                                <a:moveTo>
                                  <a:pt x="996937" y="0"/>
                                </a:moveTo>
                                <a:lnTo>
                                  <a:pt x="99090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81343"/>
                                </a:lnTo>
                                <a:lnTo>
                                  <a:pt x="6096" y="181343"/>
                                </a:lnTo>
                                <a:lnTo>
                                  <a:pt x="6096" y="6083"/>
                                </a:lnTo>
                                <a:lnTo>
                                  <a:pt x="990854" y="6083"/>
                                </a:lnTo>
                                <a:lnTo>
                                  <a:pt x="990854" y="181343"/>
                                </a:lnTo>
                                <a:lnTo>
                                  <a:pt x="996937" y="181343"/>
                                </a:lnTo>
                                <a:lnTo>
                                  <a:pt x="996937" y="6083"/>
                                </a:lnTo>
                                <a:lnTo>
                                  <a:pt x="996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048" y="3048"/>
                            <a:ext cx="4300220" cy="18161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2"/>
                                <w:ind w:left="244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celkový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počet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včelstiev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registrovaných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CEHZ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k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nákupu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7.1pt;height:14.8pt;mso-position-horizontal-relative:char;mso-position-vertical-relative:line" id="docshapegroup10" coordorigin="0,0" coordsize="8342,296">
                <v:shape style="position:absolute;left:6771;top:0;width:1570;height:296" id="docshape11" coordorigin="6771,0" coordsize="1570,296" path="m8341,286l8332,286,8332,286,6781,286,6771,286,6771,295,6781,295,8332,295,8332,295,8341,295,8341,286xm8341,0l8332,0,8332,0,6781,0,6771,0,6771,10,6771,286,6781,286,6781,10,8332,10,8332,286,8341,286,8341,10,8341,0xe" filled="true" fillcolor="#000000" stroked="false">
                  <v:path arrowok="t"/>
                  <v:fill type="solid"/>
                </v:shape>
                <v:shape style="position:absolute;left:4;top:4;width:6772;height:286" type="#_x0000_t202" id="docshape12" filled="false" stroked="true" strokeweight=".48001pt" strokecolor="#000000">
                  <v:textbox inset="0,0,0,0">
                    <w:txbxContent>
                      <w:p>
                        <w:pPr>
                          <w:spacing w:before="22"/>
                          <w:ind w:left="244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celkový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počet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včelstiev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registrovaných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CEHZ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k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nákupu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45"/>
        <w:rPr>
          <w:b/>
          <w:sz w:val="24"/>
        </w:rPr>
      </w:pPr>
    </w:p>
    <w:p>
      <w:pPr>
        <w:tabs>
          <w:tab w:pos="8742" w:val="left" w:leader="none"/>
        </w:tabs>
        <w:spacing w:before="0"/>
        <w:ind w:left="494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.......................................................</w:t>
      </w:r>
    </w:p>
    <w:p>
      <w:pPr>
        <w:pStyle w:val="BodyText"/>
        <w:tabs>
          <w:tab w:pos="8742" w:val="left" w:leader="none"/>
        </w:tabs>
        <w:spacing w:before="2"/>
        <w:ind w:left="1313"/>
      </w:pPr>
      <w:r>
        <w:rPr/>
        <w:t>Miesto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dátum</w:t>
      </w:r>
      <w:r>
        <w:rPr/>
        <w:tab/>
        <w:t>Meno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podpis</w:t>
      </w:r>
      <w:r>
        <w:rPr>
          <w:spacing w:val="-6"/>
        </w:rPr>
        <w:t> </w:t>
      </w:r>
      <w:r>
        <w:rPr/>
        <w:t>konečného</w:t>
      </w:r>
      <w:r>
        <w:rPr>
          <w:spacing w:val="-4"/>
        </w:rPr>
        <w:t> </w:t>
      </w:r>
      <w:r>
        <w:rPr/>
        <w:t>prijímateľa</w:t>
      </w:r>
      <w:r>
        <w:rPr>
          <w:spacing w:val="-5"/>
        </w:rPr>
        <w:t> </w:t>
      </w:r>
      <w:r>
        <w:rPr>
          <w:spacing w:val="-2"/>
        </w:rPr>
        <w:t>podpory</w:t>
      </w:r>
    </w:p>
    <w:sectPr>
      <w:pgSz w:w="16840" w:h="11910" w:orient="landscape"/>
      <w:pgMar w:header="717" w:footer="0" w:top="1320" w:bottom="280" w:left="90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2192">
              <wp:simplePos x="0" y="0"/>
              <wp:positionH relativeFrom="page">
                <wp:posOffset>706627</wp:posOffset>
              </wp:positionH>
              <wp:positionV relativeFrom="page">
                <wp:posOffset>442806</wp:posOffset>
              </wp:positionV>
              <wp:extent cx="7280275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2802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Príloha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č.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36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k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Príručke pre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žiadateľa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o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poskytovaní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podpory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na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vykonávanie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opatrení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v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sektore včelárstva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2024/2025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639999pt;margin-top:34.86665pt;width:573.25pt;height:15.3pt;mso-position-horizontal-relative:page;mso-position-vertical-relative:page;z-index:-1588428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Príloha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č.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36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k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Príručke pre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žiadateľa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o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poskytovaní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podpory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na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vykonávanie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opatrení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sektore včelárstva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pacing w:val="-2"/>
                        <w:sz w:val="24"/>
                      </w:rPr>
                      <w:t>2024/2025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2" w:hanging="2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>
      <w:start w:val="1"/>
      <w:numFmt w:val="lowerLetter"/>
      <w:lvlText w:val="%2)"/>
      <w:lvlJc w:val="left"/>
      <w:pPr>
        <w:ind w:left="59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2">
      <w:start w:val="0"/>
      <w:numFmt w:val="bullet"/>
      <w:lvlText w:val="•"/>
      <w:lvlJc w:val="left"/>
      <w:pPr>
        <w:ind w:left="1116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1633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2150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2667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3183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3700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4217" w:hanging="360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472" w:hanging="2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232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592" w:hanging="360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2024-06-06T14:02:53Z</dcterms:created>
  <dcterms:modified xsi:type="dcterms:W3CDTF">2024-06-06T14:02:53Z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  <property fmtid="{D5CDD505-2E9C-101B-9397-08002B2CF9AE}" pid="3" name="Producer">
    <vt:lpwstr>iLovePDF</vt:lpwstr>
  </property>
</Properties>
</file>